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eastAsia="zh-Hans" w:bidi="th-TH"/>
        </w:rPr>
      </w:pP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eastAsia="zh-Hans" w:bidi="th-TH"/>
        </w:rPr>
        <w:t>第十八届中国国际农产品交易会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bidi="th-TH"/>
        </w:rPr>
      </w:pP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eastAsia="zh-Hans" w:bidi="th-TH"/>
        </w:rPr>
        <w:t>“</w:t>
      </w: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bidi="th-TH"/>
        </w:rPr>
        <w:t>品牌农业</w:t>
      </w: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eastAsia="zh-Hans" w:bidi="th-TH"/>
        </w:rPr>
        <w:t>”</w:t>
      </w: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bidi="th-TH"/>
        </w:rPr>
        <w:t>行动</w:t>
      </w: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eastAsia="zh-Hans" w:bidi="th-TH"/>
        </w:rPr>
        <w:t>支持合作</w:t>
      </w: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bidi="th-TH"/>
        </w:rPr>
        <w:t>媒体报名表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bidi="th-TH"/>
        </w:rPr>
      </w:pPr>
    </w:p>
    <w:tbl>
      <w:tblPr>
        <w:tblStyle w:val="8"/>
        <w:tblpPr w:leftFromText="180" w:rightFromText="180" w:vertAnchor="page" w:horzAnchor="page" w:tblpXSpec="center" w:tblpY="2761"/>
        <w:tblOverlap w:val="never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344"/>
        <w:gridCol w:w="137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媒体名称</w:t>
            </w:r>
          </w:p>
        </w:tc>
        <w:tc>
          <w:tcPr>
            <w:tcW w:w="753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单位地址</w:t>
            </w:r>
          </w:p>
        </w:tc>
        <w:tc>
          <w:tcPr>
            <w:tcW w:w="753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联系人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ans"/>
              </w:rPr>
              <w:t>职务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手机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微信号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邮箱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ans"/>
              </w:rPr>
              <w:t>传真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3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合作内容</w:t>
            </w:r>
          </w:p>
        </w:tc>
        <w:tc>
          <w:tcPr>
            <w:tcW w:w="7539" w:type="dxa"/>
            <w:gridSpan w:val="3"/>
            <w:vAlign w:val="center"/>
          </w:tcPr>
          <w:p>
            <w:pPr>
              <w:spacing w:line="240" w:lineRule="auto"/>
              <w:ind w:left="480" w:hanging="480" w:hanging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您单位的新闻和资讯是否需要农交会媒体矩阵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Hans"/>
              </w:rPr>
              <w:t>内其他媒体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同步转发。</w:t>
            </w:r>
          </w:p>
          <w:p>
            <w:pPr>
              <w:spacing w:line="240" w:lineRule="auto"/>
              <w:ind w:left="480" w:hanging="480" w:hanging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您单位的新闻和推荐的新农人是否需要组委会争取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Hans"/>
              </w:rPr>
              <w:t>短视频自媒体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平台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Hans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流量支持。</w:t>
            </w:r>
          </w:p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您单位是否需要组委会为其提供行业最新最全的企业和产品讯息。</w:t>
            </w:r>
          </w:p>
          <w:p>
            <w:pPr>
              <w:spacing w:line="240" w:lineRule="auto"/>
              <w:ind w:left="480" w:hanging="480" w:hanging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Hans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是否能设置“品牌农业”专栏，及时报道其他媒体提供的行业企业动态，品牌资讯等。</w:t>
            </w:r>
          </w:p>
          <w:p>
            <w:pPr>
              <w:spacing w:line="240" w:lineRule="auto"/>
              <w:ind w:left="480" w:hanging="480" w:hangingChars="200"/>
              <w:jc w:val="both"/>
              <w:rPr>
                <w:rFonts w:hint="eastAsia" w:asciiTheme="majorEastAsia" w:hAnsiTheme="majorEastAsia" w:eastAsiaTheme="majorEastAsia" w:cstheme="majorEastAsia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您单位是否会安排记者亲临11月27-30日的展会现场作同期专访、新闻报道或直播（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Hans"/>
              </w:rPr>
              <w:t>组委会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可提供1-2名记者展期的免费住宿）。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3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备注</w:t>
            </w:r>
          </w:p>
        </w:tc>
        <w:tc>
          <w:tcPr>
            <w:tcW w:w="7539" w:type="dxa"/>
            <w:gridSpan w:val="3"/>
            <w:vAlign w:val="center"/>
          </w:tcPr>
          <w:p>
            <w:pPr>
              <w:pStyle w:val="17"/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 xml:space="preserve">1.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任何事宜请联系杨女士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18510577811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(同微信)</w:t>
            </w:r>
          </w:p>
          <w:p>
            <w:pPr>
              <w:pStyle w:val="17"/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 xml:space="preserve">2. 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Hans"/>
              </w:rPr>
              <w:t>具体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合作内容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Hans"/>
              </w:rPr>
              <w:t>请各媒体单位在表格中划勾</w:t>
            </w:r>
          </w:p>
          <w:p>
            <w:pPr>
              <w:pStyle w:val="17"/>
              <w:widowControl/>
              <w:jc w:val="left"/>
              <w:rPr>
                <w:rStyle w:val="13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Hans"/>
              </w:rPr>
              <w:t xml:space="preserve">. 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请将报名表电子版发送到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"mailto:%E8%AF%B7%E5%B0%86%E6%8A%A5%E5%90%8D%E8%A1%A8%E7%94%B5%E5%AD%90%E7%89%88%E5%8F%91%E9%80%81%E5%88%B0yangjiaojiao@yasn.com.cn%E3%80%82"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yangjiaojiao@yasn.com.cn</w:t>
            </w:r>
            <w:r>
              <w:rPr>
                <w:rStyle w:val="6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17"/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 xml:space="preserve">4. 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报名截止日期：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2020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9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Hans"/>
              </w:rPr>
              <w:t>日</w:t>
            </w:r>
            <w:bookmarkStart w:id="0" w:name="_GoBack"/>
            <w:bookmarkEnd w:id="0"/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pStyle w:val="2"/>
        <w:jc w:val="right"/>
        <w:rPr>
          <w:rFonts w:hint="eastAsia" w:asciiTheme="majorEastAsia" w:hAnsiTheme="majorEastAsia" w:eastAsiaTheme="majorEastAsia" w:cstheme="majorEastAsia"/>
          <w:bCs/>
          <w:w w:val="90"/>
          <w:szCs w:val="24"/>
          <w:lang w:eastAsia="zh-Hans" w:bidi="th-TH"/>
        </w:rPr>
      </w:pPr>
      <w:r>
        <w:rPr>
          <w:rFonts w:hint="eastAsia" w:asciiTheme="majorEastAsia" w:hAnsiTheme="majorEastAsia" w:eastAsiaTheme="majorEastAsia" w:cstheme="majorEastAsia"/>
          <w:bCs/>
          <w:w w:val="90"/>
          <w:szCs w:val="24"/>
          <w:lang w:eastAsia="zh-Hans" w:bidi="th-TH"/>
        </w:rPr>
        <w:t xml:space="preserve">                                    申请媒体（公章）</w:t>
      </w:r>
    </w:p>
    <w:p>
      <w:pPr>
        <w:pStyle w:val="2"/>
        <w:jc w:val="right"/>
        <w:rPr>
          <w:rFonts w:hint="eastAsia" w:asciiTheme="majorEastAsia" w:hAnsiTheme="majorEastAsia" w:eastAsiaTheme="majorEastAsia" w:cstheme="majorEastAsia"/>
          <w:bCs/>
          <w:w w:val="90"/>
          <w:szCs w:val="24"/>
          <w:lang w:eastAsia="zh-Hans" w:bidi="th-TH"/>
        </w:rPr>
      </w:pPr>
    </w:p>
    <w:p>
      <w:pPr>
        <w:tabs>
          <w:tab w:val="left" w:leader="underscore" w:pos="9000"/>
        </w:tabs>
        <w:jc w:val="right"/>
        <w:rPr>
          <w:rFonts w:hint="eastAsia" w:asciiTheme="majorEastAsia" w:hAnsiTheme="majorEastAsia" w:eastAsiaTheme="majorEastAsia" w:cstheme="majorEastAsia"/>
          <w:bCs/>
          <w:w w:val="90"/>
          <w:sz w:val="24"/>
          <w:lang w:bidi="th-TH"/>
        </w:rPr>
      </w:pPr>
    </w:p>
    <w:p>
      <w:pPr>
        <w:tabs>
          <w:tab w:val="left" w:leader="underscore" w:pos="9000"/>
        </w:tabs>
        <w:wordWrap w:val="0"/>
        <w:jc w:val="right"/>
        <w:rPr>
          <w:rFonts w:hint="eastAsia" w:asciiTheme="majorEastAsia" w:hAnsiTheme="majorEastAsia" w:eastAsiaTheme="majorEastAsia" w:cstheme="majorEastAsia"/>
          <w:bCs/>
          <w:w w:val="90"/>
          <w:sz w:val="24"/>
          <w:lang w:eastAsia="zh-Hans" w:bidi="th-TH"/>
        </w:rPr>
      </w:pPr>
      <w:r>
        <w:rPr>
          <w:rFonts w:hint="eastAsia" w:asciiTheme="majorEastAsia" w:hAnsiTheme="majorEastAsia" w:eastAsiaTheme="majorEastAsia" w:cstheme="majorEastAsia"/>
          <w:bCs/>
          <w:w w:val="90"/>
          <w:sz w:val="24"/>
          <w:lang w:eastAsia="zh-Hans" w:bidi="th-TH"/>
        </w:rPr>
        <w:t>申请日期：</w:t>
      </w:r>
      <w:r>
        <w:rPr>
          <w:rFonts w:hint="default" w:asciiTheme="majorEastAsia" w:hAnsiTheme="majorEastAsia" w:eastAsiaTheme="majorEastAsia" w:cstheme="majorEastAsia"/>
          <w:bCs/>
          <w:w w:val="90"/>
          <w:sz w:val="24"/>
          <w:lang w:eastAsia="zh-Hans" w:bidi="th-TH"/>
        </w:rPr>
        <w:t xml:space="preserve">    </w:t>
      </w:r>
      <w:r>
        <w:rPr>
          <w:rFonts w:hint="eastAsia" w:asciiTheme="majorEastAsia" w:hAnsiTheme="majorEastAsia" w:eastAsiaTheme="majorEastAsia" w:cstheme="majorEastAsia"/>
          <w:bCs/>
          <w:w w:val="90"/>
          <w:sz w:val="24"/>
          <w:lang w:eastAsia="zh-Hans" w:bidi="th-TH"/>
        </w:rPr>
        <w:t>年</w:t>
      </w:r>
      <w:r>
        <w:rPr>
          <w:rFonts w:hint="default" w:asciiTheme="majorEastAsia" w:hAnsiTheme="majorEastAsia" w:eastAsiaTheme="majorEastAsia" w:cstheme="majorEastAsia"/>
          <w:bCs/>
          <w:w w:val="90"/>
          <w:sz w:val="24"/>
          <w:lang w:eastAsia="zh-Hans" w:bidi="th-TH"/>
        </w:rPr>
        <w:t xml:space="preserve">     </w:t>
      </w:r>
      <w:r>
        <w:rPr>
          <w:rFonts w:hint="eastAsia" w:asciiTheme="majorEastAsia" w:hAnsiTheme="majorEastAsia" w:eastAsiaTheme="majorEastAsia" w:cstheme="majorEastAsia"/>
          <w:bCs/>
          <w:w w:val="90"/>
          <w:sz w:val="24"/>
          <w:lang w:eastAsia="zh-Hans" w:bidi="th-TH"/>
        </w:rPr>
        <w:t>月</w:t>
      </w:r>
      <w:r>
        <w:rPr>
          <w:rFonts w:hint="default" w:asciiTheme="majorEastAsia" w:hAnsiTheme="majorEastAsia" w:eastAsiaTheme="majorEastAsia" w:cstheme="majorEastAsia"/>
          <w:bCs/>
          <w:w w:val="90"/>
          <w:sz w:val="24"/>
          <w:lang w:eastAsia="zh-Hans" w:bidi="th-TH"/>
        </w:rPr>
        <w:t xml:space="preserve">     </w:t>
      </w:r>
      <w:r>
        <w:rPr>
          <w:rFonts w:hint="eastAsia" w:asciiTheme="majorEastAsia" w:hAnsiTheme="majorEastAsia" w:eastAsiaTheme="majorEastAsia" w:cstheme="majorEastAsia"/>
          <w:bCs/>
          <w:w w:val="90"/>
          <w:sz w:val="24"/>
          <w:lang w:eastAsia="zh-Hans" w:bidi="th-TH"/>
        </w:rPr>
        <w:t>日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ngsana New">
    <w:altName w:val="Tahoma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.pingfang sc">
    <w:altName w:val="苹方-简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E96C"/>
    <w:rsid w:val="00325F7E"/>
    <w:rsid w:val="0060464E"/>
    <w:rsid w:val="009930AE"/>
    <w:rsid w:val="00AB505D"/>
    <w:rsid w:val="29FB919E"/>
    <w:rsid w:val="5D8D7745"/>
    <w:rsid w:val="77FC7D44"/>
    <w:rsid w:val="79FE5E8F"/>
    <w:rsid w:val="7D9F9193"/>
    <w:rsid w:val="7FBA4EE8"/>
    <w:rsid w:val="7FDCB421"/>
    <w:rsid w:val="7FF5C792"/>
    <w:rsid w:val="B39BA10A"/>
    <w:rsid w:val="C5E2BA56"/>
    <w:rsid w:val="DBED6A6A"/>
    <w:rsid w:val="E9EFAFD1"/>
    <w:rsid w:val="EBBEBB30"/>
    <w:rsid w:val="EF5F4102"/>
    <w:rsid w:val="EF7FA842"/>
    <w:rsid w:val="F9FF6DB2"/>
    <w:rsid w:val="FBD2A2CB"/>
    <w:rsid w:val="FBF888F4"/>
    <w:rsid w:val="FBFFB090"/>
    <w:rsid w:val="FE7FE846"/>
    <w:rsid w:val="FFF6E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Garamond" w:hAnsi="Garamond" w:eastAsia="PMingLiU" w:cs="Angsana New"/>
      <w:kern w:val="0"/>
      <w:sz w:val="24"/>
      <w:szCs w:val="20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lang w:eastAsia="zh-TW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s2"/>
    <w:basedOn w:val="5"/>
    <w:qFormat/>
    <w:uiPriority w:val="0"/>
    <w:rPr>
      <w:color w:val="454545"/>
    </w:rPr>
  </w:style>
  <w:style w:type="paragraph" w:customStyle="1" w:styleId="10">
    <w:name w:val="p2"/>
    <w:basedOn w:val="1"/>
    <w:qFormat/>
    <w:uiPriority w:val="0"/>
    <w:rPr>
      <w:rFonts w:ascii="Helvetica Neue" w:hAnsi="Helvetica Neue" w:eastAsia="Helvetica Neue" w:cs="Times New Roman"/>
      <w:color w:val="E4AF0A"/>
      <w:kern w:val="0"/>
      <w:sz w:val="24"/>
    </w:rPr>
  </w:style>
  <w:style w:type="paragraph" w:customStyle="1" w:styleId="11">
    <w:name w:val="p3"/>
    <w:basedOn w:val="1"/>
    <w:qFormat/>
    <w:uiPriority w:val="0"/>
    <w:rPr>
      <w:rFonts w:ascii="Helvetica Neue" w:hAnsi="Helvetica Neue" w:eastAsia="Helvetica Neue" w:cs="Times New Roman"/>
      <w:color w:val="454545"/>
      <w:kern w:val="0"/>
      <w:sz w:val="24"/>
    </w:rPr>
  </w:style>
  <w:style w:type="character" w:customStyle="1" w:styleId="12">
    <w:name w:val="s4"/>
    <w:basedOn w:val="5"/>
    <w:qFormat/>
    <w:uiPriority w:val="0"/>
    <w:rPr>
      <w:color w:val="E4AF0A"/>
      <w:u w:val="single"/>
    </w:rPr>
  </w:style>
  <w:style w:type="character" w:customStyle="1" w:styleId="13">
    <w:name w:val="s3"/>
    <w:basedOn w:val="5"/>
    <w:qFormat/>
    <w:uiPriority w:val="0"/>
    <w:rPr>
      <w:rFonts w:ascii=".pingfang sc" w:hAnsi=".pingfang sc" w:eastAsia=".pingfang sc" w:cs=".pingfang sc"/>
      <w:color w:val="454545"/>
      <w:sz w:val="24"/>
      <w:szCs w:val="24"/>
    </w:rPr>
  </w:style>
  <w:style w:type="character" w:customStyle="1" w:styleId="14">
    <w:name w:val="s1"/>
    <w:basedOn w:val="5"/>
    <w:qFormat/>
    <w:uiPriority w:val="0"/>
    <w:rPr>
      <w:rFonts w:hint="default" w:ascii="Helvetica Neue" w:hAnsi="Helvetica Neue" w:eastAsia="Helvetica Neue" w:cs="Helvetica Neue"/>
      <w:sz w:val="24"/>
      <w:szCs w:val="24"/>
    </w:rPr>
  </w:style>
  <w:style w:type="character" w:customStyle="1" w:styleId="15">
    <w:name w:val="s6"/>
    <w:basedOn w:val="5"/>
    <w:qFormat/>
    <w:uiPriority w:val="0"/>
    <w:rPr>
      <w:rFonts w:hint="default" w:ascii=".pingfang sc" w:hAnsi=".pingfang sc" w:eastAsia=".pingfang sc" w:cs=".pingfang sc"/>
      <w:sz w:val="24"/>
      <w:szCs w:val="24"/>
    </w:rPr>
  </w:style>
  <w:style w:type="character" w:customStyle="1" w:styleId="16">
    <w:name w:val="s5"/>
    <w:basedOn w:val="5"/>
    <w:qFormat/>
    <w:uiPriority w:val="0"/>
    <w:rPr>
      <w:rFonts w:hint="default" w:ascii="Helvetica Neue" w:hAnsi="Helvetica Neue" w:eastAsia="Helvetica Neue" w:cs="Helvetica Neue"/>
      <w:color w:val="E4AF0A"/>
      <w:sz w:val="24"/>
      <w:szCs w:val="24"/>
      <w:u w:val="single"/>
    </w:rPr>
  </w:style>
  <w:style w:type="paragraph" w:customStyle="1" w:styleId="17">
    <w:name w:val="p1"/>
    <w:basedOn w:val="1"/>
    <w:qFormat/>
    <w:uiPriority w:val="0"/>
    <w:rPr>
      <w:rFonts w:ascii=".pingfang sc" w:hAnsi=".pingfang sc" w:eastAsia=".pingfang sc" w:cs="Times New Roman"/>
      <w:color w:val="454545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542</Characters>
  <Lines>4</Lines>
  <Paragraphs>1</Paragraphs>
  <ScaleCrop>false</ScaleCrop>
  <LinksUpToDate>false</LinksUpToDate>
  <CharactersWithSpaces>635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2020-09-01T10:09:00Z</dcterms:created>
  <dc:creator>linying</dc:creator>
  <cp:lastModifiedBy>yangbaobao</cp:lastModifiedBy>
  <dcterms:modified xsi:type="dcterms:W3CDTF">2020-08-27T22:03:31Z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